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7162">
      <w:pPr>
        <w:spacing w:before="120" w:after="0" w:line="360" w:lineRule="auto"/>
        <w:jc w:val="center"/>
        <w:rPr>
          <w:sz w:val="24"/>
          <w:u w:val="single"/>
        </w:rPr>
      </w:pPr>
      <w:bookmarkStart w:id="0" w:name="_GoBack"/>
      <w:bookmarkEnd w:id="0"/>
      <w:r>
        <w:rPr>
          <w:sz w:val="32"/>
        </w:rPr>
        <w:t xml:space="preserve">Documento di Proposta Partecipata </w:t>
      </w:r>
      <w:r>
        <w:rPr>
          <w:sz w:val="28"/>
        </w:rPr>
        <w:t>(DocPP)</w:t>
      </w:r>
    </w:p>
    <w:p w:rsidR="00000000" w:rsidRDefault="00347162">
      <w:pPr>
        <w:spacing w:before="240" w:after="0" w:line="100" w:lineRule="atLeast"/>
        <w:rPr>
          <w:sz w:val="24"/>
          <w:u w:val="single"/>
        </w:rPr>
      </w:pPr>
      <w:r>
        <w:rPr>
          <w:sz w:val="24"/>
          <w:u w:val="single"/>
        </w:rPr>
        <w:t>Titolo del processo</w:t>
      </w:r>
      <w:r>
        <w:rPr>
          <w:sz w:val="24"/>
        </w:rPr>
        <w:t xml:space="preserve">: </w:t>
      </w:r>
      <w:r>
        <w:rPr>
          <w:b/>
          <w:color w:val="FF0000"/>
          <w:sz w:val="28"/>
        </w:rPr>
        <w:t>INSIEME!</w:t>
      </w:r>
      <w:r>
        <w:rPr>
          <w:b/>
          <w:color w:val="FF0000"/>
          <w:sz w:val="28"/>
        </w:rPr>
        <w:t xml:space="preserve"> Collaborare per la salvaguardia dell'ambiente e la promozione della comunità</w:t>
      </w:r>
    </w:p>
    <w:p w:rsidR="00000000" w:rsidRDefault="00347162">
      <w:pPr>
        <w:spacing w:before="240" w:after="0" w:line="100" w:lineRule="atLeast"/>
        <w:ind w:left="4962" w:hanging="4962"/>
        <w:jc w:val="both"/>
        <w:rPr>
          <w:sz w:val="24"/>
          <w:u w:val="single"/>
        </w:rPr>
      </w:pPr>
      <w:r>
        <w:rPr>
          <w:sz w:val="24"/>
          <w:u w:val="single"/>
        </w:rPr>
        <w:t>Responsabile del processo e curatore del testo</w:t>
      </w:r>
      <w:r>
        <w:rPr>
          <w:sz w:val="24"/>
        </w:rPr>
        <w:t xml:space="preserve">: </w:t>
      </w:r>
      <w:r>
        <w:rPr>
          <w:b/>
          <w:sz w:val="24"/>
        </w:rPr>
        <w:t>Coop. Giolli con la collaborazione del Dott. Stefano Castag</w:t>
      </w:r>
      <w:r>
        <w:rPr>
          <w:b/>
          <w:sz w:val="24"/>
        </w:rPr>
        <w:t>netti e di Graziella Serventi</w:t>
      </w:r>
      <w:r>
        <w:rPr>
          <w:sz w:val="24"/>
        </w:rPr>
        <w:t xml:space="preserve"> </w:t>
      </w:r>
    </w:p>
    <w:p w:rsidR="00000000" w:rsidRDefault="00347162">
      <w:pPr>
        <w:spacing w:before="240" w:after="0" w:line="100" w:lineRule="atLeast"/>
        <w:jc w:val="both"/>
        <w:rPr>
          <w:sz w:val="24"/>
          <w:u w:val="single"/>
        </w:rPr>
      </w:pPr>
      <w:r>
        <w:rPr>
          <w:sz w:val="24"/>
          <w:u w:val="single"/>
        </w:rPr>
        <w:t>Ente titolare della decisione</w:t>
      </w:r>
      <w:r>
        <w:rPr>
          <w:sz w:val="24"/>
        </w:rPr>
        <w:t xml:space="preserve">: </w:t>
      </w:r>
      <w:r>
        <w:rPr>
          <w:b/>
          <w:sz w:val="24"/>
        </w:rPr>
        <w:t>UNIONE PEDEMONTANA PARMENSE</w:t>
      </w:r>
    </w:p>
    <w:p w:rsidR="00000000" w:rsidRDefault="00347162">
      <w:pPr>
        <w:spacing w:before="240" w:after="0" w:line="100" w:lineRule="atLeast"/>
        <w:jc w:val="both"/>
        <w:rPr>
          <w:sz w:val="24"/>
          <w:u w:val="single"/>
        </w:rPr>
      </w:pPr>
      <w:r>
        <w:rPr>
          <w:sz w:val="24"/>
          <w:u w:val="single"/>
        </w:rPr>
        <w:t>Data di redazione approvazione da parte del Tavolo di Negoziazione</w:t>
      </w:r>
      <w:r>
        <w:rPr>
          <w:sz w:val="24"/>
        </w:rPr>
        <w:t xml:space="preserve">: </w:t>
      </w:r>
      <w:r>
        <w:rPr>
          <w:b/>
          <w:sz w:val="24"/>
        </w:rPr>
        <w:t>22/06/2016</w:t>
      </w:r>
    </w:p>
    <w:p w:rsidR="00000000" w:rsidRDefault="00347162">
      <w:pPr>
        <w:spacing w:before="240" w:after="0" w:line="100" w:lineRule="atLeast"/>
        <w:jc w:val="both"/>
      </w:pPr>
      <w:r>
        <w:rPr>
          <w:sz w:val="24"/>
          <w:u w:val="single"/>
        </w:rPr>
        <w:t>Ele</w:t>
      </w:r>
      <w:r>
        <w:rPr>
          <w:rFonts w:cs="Calibri"/>
          <w:sz w:val="24"/>
          <w:u w:val="single"/>
        </w:rPr>
        <w:t>nco rappresentanti/delegati TdN</w:t>
      </w:r>
      <w:r>
        <w:rPr>
          <w:rFonts w:cs="Calibri"/>
          <w:sz w:val="24"/>
        </w:rPr>
        <w:t xml:space="preserve">: </w:t>
      </w:r>
    </w:p>
    <w:p w:rsidR="00000000" w:rsidRDefault="00347162">
      <w:pPr>
        <w:autoSpaceDE w:val="0"/>
        <w:spacing w:after="0"/>
      </w:pP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 xml:space="preserve">--- Unione Pedemontana Parmense: </w:t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Assessore alla </w:t>
      </w:r>
      <w:r>
        <w:rPr>
          <w:rFonts w:eastAsia="Arial" w:cs="Calibri"/>
          <w:sz w:val="20"/>
          <w:szCs w:val="20"/>
        </w:rPr>
        <w:t xml:space="preserve">Protezione Civile - Elisa Leoni </w:t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Responsabile Servizio </w:t>
      </w:r>
      <w:r>
        <w:rPr>
          <w:rFonts w:eastAsia="Arial" w:cs="Calibri"/>
          <w:sz w:val="20"/>
          <w:szCs w:val="20"/>
        </w:rPr>
        <w:t>Protezione Civile</w:t>
      </w:r>
      <w:r>
        <w:rPr>
          <w:rFonts w:eastAsia="Arial" w:cs="Calibri"/>
          <w:sz w:val="20"/>
          <w:szCs w:val="20"/>
        </w:rPr>
        <w:t xml:space="preserve"> - Franco Drigani</w:t>
      </w:r>
      <w:r>
        <w:rPr>
          <w:rFonts w:eastAsia="Arial" w:cs="Calibri"/>
          <w:sz w:val="20"/>
          <w:szCs w:val="20"/>
        </w:rPr>
        <w:tab/>
      </w:r>
    </w:p>
    <w:p w:rsidR="00000000" w:rsidRDefault="00347162">
      <w:pPr>
        <w:autoSpaceDE w:val="0"/>
        <w:spacing w:after="0"/>
        <w:rPr>
          <w:rFonts w:eastAsia="Arial" w:cs="Calibri"/>
          <w:b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Servizio </w:t>
      </w:r>
      <w:r>
        <w:rPr>
          <w:rFonts w:eastAsia="Arial" w:cs="Calibri"/>
          <w:sz w:val="20"/>
          <w:szCs w:val="20"/>
        </w:rPr>
        <w:t>Protezione Civile</w:t>
      </w:r>
      <w:r>
        <w:rPr>
          <w:rFonts w:eastAsia="Arial" w:cs="Calibri"/>
          <w:sz w:val="20"/>
          <w:szCs w:val="20"/>
        </w:rPr>
        <w:t xml:space="preserve"> - Graziella Serventi </w:t>
      </w:r>
    </w:p>
    <w:p w:rsidR="00000000" w:rsidRDefault="00347162">
      <w:pPr>
        <w:autoSpaceDE w:val="0"/>
        <w:spacing w:after="0" w:line="100" w:lineRule="atLeast"/>
        <w:rPr>
          <w:rFonts w:eastAsia="Arial" w:cs="Calibri"/>
          <w:b/>
          <w:sz w:val="20"/>
          <w:szCs w:val="20"/>
        </w:rPr>
      </w:pPr>
    </w:p>
    <w:p w:rsidR="00000000" w:rsidRDefault="00347162">
      <w:pPr>
        <w:spacing w:after="0" w:line="100" w:lineRule="atLeast"/>
        <w:jc w:val="both"/>
        <w:rPr>
          <w:rFonts w:eastAsia="Arial" w:cs="Calibri"/>
          <w:sz w:val="20"/>
          <w:szCs w:val="20"/>
        </w:rPr>
      </w:pPr>
      <w:r>
        <w:rPr>
          <w:rFonts w:eastAsia="Arial" w:cs="Calibri"/>
          <w:b/>
          <w:sz w:val="20"/>
          <w:szCs w:val="20"/>
        </w:rPr>
        <w:t xml:space="preserve">--- Assessori e Consiglieri:  </w:t>
      </w:r>
    </w:p>
    <w:p w:rsidR="00000000" w:rsidRDefault="00347162">
      <w:pPr>
        <w:spacing w:after="0" w:line="100" w:lineRule="atLeast"/>
        <w:jc w:val="both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Aldo Facchinelli - Collecchio </w:t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Marco Boselli - Collecchio</w:t>
      </w:r>
      <w:r>
        <w:rPr>
          <w:rFonts w:eastAsia="Arial" w:cs="Calibri"/>
          <w:sz w:val="20"/>
          <w:szCs w:val="20"/>
        </w:rPr>
        <w:tab/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Assessore Valeria Lonchi </w:t>
      </w:r>
      <w:r>
        <w:rPr>
          <w:rFonts w:eastAsia="Arial" w:cs="Calibri"/>
          <w:sz w:val="20"/>
          <w:szCs w:val="20"/>
        </w:rPr>
        <w:t xml:space="preserve">Fochi - Felino </w:t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Assessore Caccia - Felino </w:t>
      </w:r>
      <w:r>
        <w:rPr>
          <w:rFonts w:eastAsia="Arial" w:cs="Calibri"/>
          <w:sz w:val="20"/>
          <w:szCs w:val="20"/>
        </w:rPr>
        <w:tab/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Consigliere Giacomo Campanini - Felino</w:t>
      </w:r>
      <w:r>
        <w:rPr>
          <w:rFonts w:eastAsia="Arial" w:cs="Calibri"/>
          <w:sz w:val="20"/>
          <w:szCs w:val="20"/>
        </w:rPr>
        <w:tab/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Luigi Buriola - Montechiarugolo</w:t>
      </w:r>
      <w:r>
        <w:rPr>
          <w:rFonts w:eastAsia="Arial" w:cs="Calibri"/>
          <w:sz w:val="20"/>
          <w:szCs w:val="20"/>
        </w:rPr>
        <w:tab/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Patrizia Vaccari - Montechiarugolo</w:t>
      </w:r>
      <w:r>
        <w:rPr>
          <w:rFonts w:eastAsia="Arial" w:cs="Calibri"/>
          <w:sz w:val="20"/>
          <w:szCs w:val="20"/>
        </w:rPr>
        <w:tab/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Maurizio Pavesi - Sala Baganza </w:t>
      </w:r>
      <w:r>
        <w:rPr>
          <w:rFonts w:eastAsia="Arial" w:cs="Calibri"/>
          <w:sz w:val="20"/>
          <w:szCs w:val="20"/>
        </w:rPr>
        <w:tab/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Giovanni Ronchini - Sala Baganza </w:t>
      </w:r>
      <w:r>
        <w:rPr>
          <w:rFonts w:eastAsia="Arial" w:cs="Calibri"/>
          <w:sz w:val="20"/>
          <w:szCs w:val="20"/>
        </w:rPr>
        <w:tab/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Assessore Brugnoli - Traversetolo </w:t>
      </w:r>
      <w:r>
        <w:rPr>
          <w:rFonts w:eastAsia="Arial" w:cs="Calibri"/>
          <w:sz w:val="20"/>
          <w:szCs w:val="20"/>
        </w:rPr>
        <w:tab/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Laura Monica - Traversetolo </w:t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 xml:space="preserve">--- Tecnici: </w:t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Carlo Nemorini</w:t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Lorenzo Gherri</w:t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Lucia Uccelli</w:t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Mauro Bertozzi</w:t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Fabio Garlassi</w:t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Ing. Alessandro Bertani responsabile ufficio lavori pubblici del Comune di Collecchio </w:t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Geom. AngeloRuffini - Comune di Traversetolo-refer</w:t>
      </w:r>
      <w:r>
        <w:rPr>
          <w:rFonts w:eastAsia="Arial" w:cs="Calibri"/>
          <w:sz w:val="20"/>
          <w:szCs w:val="20"/>
        </w:rPr>
        <w:t xml:space="preserve">ente per la Protezione Civile </w:t>
      </w:r>
      <w:r>
        <w:rPr>
          <w:rFonts w:eastAsia="Arial" w:cs="Calibri"/>
          <w:sz w:val="20"/>
          <w:szCs w:val="20"/>
        </w:rPr>
        <w:tab/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</w:p>
    <w:p w:rsidR="00000000" w:rsidRDefault="00347162">
      <w:pPr>
        <w:autoSpaceDE w:val="0"/>
        <w:spacing w:after="0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 xml:space="preserve">--- Azienda Pedemontana Sociale: Stefania Pelosio </w:t>
      </w:r>
    </w:p>
    <w:p w:rsidR="00000000" w:rsidRDefault="00347162">
      <w:pPr>
        <w:autoSpaceDE w:val="0"/>
        <w:spacing w:after="0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 xml:space="preserve">--- Giolli coop: Roberto Mazzini </w:t>
      </w:r>
      <w:r>
        <w:rPr>
          <w:rFonts w:eastAsia="Arial" w:cs="Calibri"/>
          <w:b/>
          <w:bCs/>
          <w:sz w:val="20"/>
          <w:szCs w:val="20"/>
        </w:rPr>
        <w:tab/>
      </w:r>
    </w:p>
    <w:p w:rsidR="00000000" w:rsidRDefault="00347162">
      <w:pPr>
        <w:autoSpaceDE w:val="0"/>
        <w:spacing w:after="0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 xml:space="preserve">--- Esperti: Stefano Castagnetti </w:t>
      </w:r>
      <w:r>
        <w:rPr>
          <w:rFonts w:eastAsia="Arial" w:cs="Calibri"/>
          <w:b/>
          <w:bCs/>
          <w:sz w:val="20"/>
          <w:szCs w:val="20"/>
        </w:rPr>
        <w:tab/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>--- Scuole:</w:t>
      </w:r>
    </w:p>
    <w:p w:rsidR="00000000" w:rsidRDefault="00347162">
      <w:pPr>
        <w:autoSpaceDE w:val="0"/>
        <w:spacing w:after="0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sz w:val="20"/>
          <w:szCs w:val="20"/>
        </w:rPr>
        <w:t>Rappresentante dei 5 Istituti dell'Unione - MICHELOTTI ROBERTA docente e collaboratore del</w:t>
      </w:r>
      <w:r>
        <w:rPr>
          <w:rFonts w:eastAsia="Arial" w:cs="Calibri"/>
          <w:sz w:val="20"/>
          <w:szCs w:val="20"/>
        </w:rPr>
        <w:t xml:space="preserve">l'IC Malaguzzi di Felino </w:t>
      </w:r>
    </w:p>
    <w:p w:rsidR="00000000" w:rsidRDefault="00347162">
      <w:pPr>
        <w:autoSpaceDE w:val="0"/>
        <w:spacing w:after="0"/>
        <w:rPr>
          <w:rFonts w:eastAsia="Arial" w:cs="Calibri"/>
          <w:b/>
          <w:bCs/>
          <w:sz w:val="20"/>
          <w:szCs w:val="20"/>
        </w:rPr>
      </w:pP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 xml:space="preserve">--- Associazioni di PC: </w:t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ANA Sala Baganza - Igino Carpena </w:t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AICS gruppo Il Ponte - Bruno Boschetti </w:t>
      </w:r>
    </w:p>
    <w:p w:rsidR="00000000" w:rsidRDefault="00347162">
      <w:pPr>
        <w:autoSpaceDE w:val="0"/>
        <w:spacing w:after="0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UNUCI - Roberto Borsi </w:t>
      </w:r>
    </w:p>
    <w:p w:rsidR="00000000" w:rsidRDefault="00347162">
      <w:pPr>
        <w:autoSpaceDE w:val="0"/>
        <w:spacing w:after="0"/>
        <w:rPr>
          <w:rFonts w:eastAsia="Arial" w:cs="Calibri"/>
          <w:b/>
          <w:bCs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lastRenderedPageBreak/>
        <w:t xml:space="preserve">--- Comitato alluvione 11 giugno onlus:  Emilio Ceci </w:t>
      </w:r>
    </w:p>
    <w:p w:rsidR="00000000" w:rsidRDefault="00347162">
      <w:pPr>
        <w:autoSpaceDE w:val="0"/>
        <w:spacing w:after="0"/>
        <w:rPr>
          <w:rFonts w:eastAsia="Arial" w:cs="Calibri"/>
          <w:b/>
          <w:bCs/>
          <w:sz w:val="20"/>
          <w:szCs w:val="20"/>
        </w:rPr>
      </w:pP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b/>
          <w:bCs/>
          <w:sz w:val="20"/>
          <w:szCs w:val="20"/>
        </w:rPr>
        <w:t xml:space="preserve">--- Altri: </w:t>
      </w:r>
    </w:p>
    <w:p w:rsidR="00000000" w:rsidRDefault="00347162">
      <w:pPr>
        <w:autoSpaceDE w:val="0"/>
        <w:spacing w:after="0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 xml:space="preserve">Andrea Ferrari - Montechiarugolo </w:t>
      </w:r>
    </w:p>
    <w:p w:rsidR="00000000" w:rsidRDefault="00347162">
      <w:pPr>
        <w:autoSpaceDE w:val="0"/>
        <w:spacing w:after="0"/>
        <w:rPr>
          <w:rFonts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CIAC -</w:t>
      </w:r>
      <w:r>
        <w:rPr>
          <w:rFonts w:eastAsia="Arial" w:cs="Calibri"/>
          <w:sz w:val="20"/>
          <w:szCs w:val="20"/>
        </w:rPr>
        <w:t xml:space="preserve"> Gazmir Cela </w:t>
      </w:r>
    </w:p>
    <w:p w:rsidR="00000000" w:rsidRDefault="00347162">
      <w:pPr>
        <w:spacing w:after="0" w:line="100" w:lineRule="atLeast"/>
        <w:jc w:val="both"/>
        <w:rPr>
          <w:rFonts w:cs="Calibri"/>
          <w:sz w:val="20"/>
          <w:szCs w:val="20"/>
        </w:rPr>
      </w:pPr>
    </w:p>
    <w:p w:rsidR="00000000" w:rsidRDefault="00347162">
      <w:pPr>
        <w:spacing w:before="240" w:after="0" w:line="100" w:lineRule="atLeast"/>
        <w:jc w:val="both"/>
        <w:rPr>
          <w:rFonts w:cs="Calibri"/>
          <w:sz w:val="24"/>
        </w:rPr>
      </w:pPr>
      <w:r>
        <w:rPr>
          <w:rFonts w:cs="Calibri"/>
          <w:sz w:val="24"/>
          <w:u w:val="single"/>
        </w:rPr>
        <w:t>Data di invio del DocPP al Tecnico di garanzia in materia di partecipazione</w:t>
      </w:r>
      <w:r>
        <w:rPr>
          <w:rFonts w:cs="Calibri"/>
          <w:sz w:val="24"/>
        </w:rPr>
        <w:t xml:space="preserve">: </w:t>
      </w:r>
      <w:r>
        <w:rPr>
          <w:rFonts w:cs="Calibri"/>
          <w:b/>
          <w:sz w:val="24"/>
          <w:shd w:val="clear" w:color="auto" w:fill="FFFF00"/>
        </w:rPr>
        <w:t>……/..</w:t>
      </w:r>
      <w:r>
        <w:rPr>
          <w:rFonts w:cs="Calibri"/>
          <w:b/>
          <w:sz w:val="24"/>
          <w:shd w:val="clear" w:color="auto" w:fill="FFFF00"/>
        </w:rPr>
        <w:t>…/2016</w:t>
      </w:r>
    </w:p>
    <w:p w:rsidR="00000000" w:rsidRDefault="00347162">
      <w:pPr>
        <w:spacing w:before="360" w:after="0" w:line="100" w:lineRule="atLeast"/>
        <w:jc w:val="center"/>
        <w:rPr>
          <w:rFonts w:cs="Calibri"/>
          <w:b/>
          <w:sz w:val="24"/>
        </w:rPr>
      </w:pPr>
      <w:r>
        <w:rPr>
          <w:rFonts w:cs="Calibri"/>
          <w:sz w:val="24"/>
        </w:rPr>
        <w:t>------</w:t>
      </w:r>
    </w:p>
    <w:p w:rsidR="00000000" w:rsidRDefault="00347162">
      <w:pPr>
        <w:spacing w:before="240" w:after="0" w:line="100" w:lineRule="atLeast"/>
        <w:jc w:val="both"/>
        <w:rPr>
          <w:rFonts w:cs="Calibri"/>
          <w:i/>
          <w:color w:val="0000FF"/>
          <w:sz w:val="20"/>
        </w:rPr>
      </w:pPr>
      <w:r>
        <w:rPr>
          <w:rFonts w:cs="Calibri"/>
          <w:b/>
          <w:sz w:val="24"/>
        </w:rPr>
        <w:t>Premessa</w:t>
      </w:r>
    </w:p>
    <w:p w:rsidR="00000000" w:rsidRDefault="00347162">
      <w:pPr>
        <w:spacing w:before="120" w:after="0" w:line="100" w:lineRule="atLeast"/>
        <w:jc w:val="both"/>
        <w:rPr>
          <w:rFonts w:cs="Calibri"/>
          <w:sz w:val="24"/>
          <w:szCs w:val="24"/>
        </w:rPr>
      </w:pPr>
      <w:r>
        <w:rPr>
          <w:rFonts w:cs="Calibri"/>
          <w:i/>
          <w:color w:val="0000FF"/>
          <w:sz w:val="20"/>
        </w:rPr>
        <w:t>[Sintesi del contesto del processo, quando nasce, chi l’ha richiesto o promosso, quale il problema o la situazione di partenza - max 200</w:t>
      </w:r>
      <w:r>
        <w:rPr>
          <w:rFonts w:cs="Calibri"/>
          <w:i/>
          <w:color w:val="0000FF"/>
          <w:sz w:val="20"/>
        </w:rPr>
        <w:t>0 car. Spazi inclusi</w:t>
      </w:r>
      <w:r>
        <w:rPr>
          <w:rFonts w:cs="Calibri"/>
          <w:color w:val="0000FF"/>
          <w:sz w:val="20"/>
        </w:rPr>
        <w:t>].</w:t>
      </w:r>
    </w:p>
    <w:p w:rsidR="00000000" w:rsidRDefault="00347162">
      <w:pPr>
        <w:pStyle w:val="BodyText"/>
        <w:spacing w:after="0" w:line="240" w:lineRule="auto"/>
        <w:rPr>
          <w:rFonts w:cs="Calibri"/>
          <w:sz w:val="24"/>
          <w:szCs w:val="24"/>
        </w:rPr>
      </w:pPr>
    </w:p>
    <w:p w:rsidR="00000000" w:rsidRDefault="00347162">
      <w:pPr>
        <w:pStyle w:val="BodyText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progetto “Insieme!” nasce nell'agosto 2015 su iniziativa dell'Unione Pedemontana Parmense e ha voluto inserirsi in una fase di riprogettazione dei Piani di Protezione Civile già affidata al Dott. Stefano Castagnetti per coinvolge</w:t>
      </w:r>
      <w:r>
        <w:rPr>
          <w:rFonts w:cs="Calibri"/>
          <w:sz w:val="24"/>
          <w:szCs w:val="24"/>
        </w:rPr>
        <w:t>re i cittadini nella loro definizione, in particolare rispetto alle modalità di partecipazione al Piano, alle modalità di collaborazione nell’uso e diffusione delle comunicazioni relative a situazioni critiche e in ultima istanza come contributo di idee al</w:t>
      </w:r>
      <w:r>
        <w:rPr>
          <w:rFonts w:cs="Calibri"/>
          <w:sz w:val="24"/>
          <w:szCs w:val="24"/>
        </w:rPr>
        <w:t xml:space="preserve"> miglioramento del piano stesso.</w:t>
      </w:r>
    </w:p>
    <w:p w:rsidR="00000000" w:rsidRDefault="00347162">
      <w:pPr>
        <w:pStyle w:val="BodyText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Piano di Protezione Civile dei Comuni aderenti all’Unione era infatti in corso di revisione ed aggiornamento come da Determinazione Dirigenziale n° 126 del 21/07/2015.</w:t>
      </w:r>
    </w:p>
    <w:p w:rsidR="00000000" w:rsidRDefault="00347162">
      <w:pPr>
        <w:pStyle w:val="BodyText"/>
        <w:spacing w:after="0" w:line="240" w:lineRule="auto"/>
        <w:rPr>
          <w:rFonts w:cs="Calibri"/>
          <w:sz w:val="24"/>
          <w:szCs w:val="24"/>
        </w:rPr>
      </w:pPr>
    </w:p>
    <w:p w:rsidR="00000000" w:rsidRDefault="00347162">
      <w:pPr>
        <w:pStyle w:val="BodyText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 sintesi con questo progetto partecipativo si int</w:t>
      </w:r>
      <w:r>
        <w:rPr>
          <w:rFonts w:cs="Calibri"/>
          <w:sz w:val="24"/>
          <w:szCs w:val="24"/>
        </w:rPr>
        <w:t>endevano approfondire i seguenti elementi:</w:t>
      </w:r>
    </w:p>
    <w:p w:rsidR="00000000" w:rsidRDefault="00347162">
      <w:pPr>
        <w:pStyle w:val="BodyTex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-- la conoscenza, da parte dei cittadini, dei dipendenti dell’Unione e dei 5 Comuni aderenti,  dei volontari organizzati e delle altre istituzioni, dei Piani  Comunali di PC, della loro funzione, dell’inquadrament</w:t>
      </w:r>
      <w:r>
        <w:rPr>
          <w:rFonts w:cs="Calibri"/>
          <w:sz w:val="24"/>
          <w:szCs w:val="24"/>
        </w:rPr>
        <w:t>o geomorfologico, dei rischi sul proprio territorio;</w:t>
      </w:r>
    </w:p>
    <w:p w:rsidR="00000000" w:rsidRDefault="00347162">
      <w:pPr>
        <w:pStyle w:val="BodyText"/>
        <w:spacing w:after="0" w:line="240" w:lineRule="auto"/>
        <w:ind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      -- la comunicazione efficace e capillare del Piano alla cittadinanza;</w:t>
      </w:r>
    </w:p>
    <w:p w:rsidR="00000000" w:rsidRDefault="00347162">
      <w:pPr>
        <w:pStyle w:val="BodyText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-- la diffusione della conoscenza delle azioni di auto protezione dei cittadini; </w:t>
      </w:r>
    </w:p>
    <w:p w:rsidR="00000000" w:rsidRDefault="00347162">
      <w:pPr>
        <w:pStyle w:val="BodyText"/>
        <w:spacing w:after="0" w:line="240" w:lineRule="auto"/>
        <w:ind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      -- le modalità di collaborazione da p</w:t>
      </w:r>
      <w:r>
        <w:rPr>
          <w:rFonts w:cs="Calibri"/>
          <w:sz w:val="24"/>
          <w:szCs w:val="24"/>
        </w:rPr>
        <w:t xml:space="preserve">arte dei cittadini all’identificazione delle situazioni/luoghi a rischio; </w:t>
      </w:r>
    </w:p>
    <w:p w:rsidR="00000000" w:rsidRDefault="00347162">
      <w:pPr>
        <w:pStyle w:val="BodyText"/>
        <w:spacing w:after="0" w:line="240" w:lineRule="auto"/>
        <w:ind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      -- l'apporto che i cittadini possono dare e con quali modalità, alla costruzione del Piano.</w:t>
      </w:r>
    </w:p>
    <w:p w:rsidR="00000000" w:rsidRDefault="00347162">
      <w:pPr>
        <w:pStyle w:val="BodyText"/>
        <w:spacing w:after="0" w:line="240" w:lineRule="auto"/>
        <w:rPr>
          <w:rFonts w:cs="Calibri"/>
          <w:sz w:val="24"/>
          <w:szCs w:val="24"/>
        </w:rPr>
      </w:pPr>
    </w:p>
    <w:p w:rsidR="00000000" w:rsidRDefault="00347162">
      <w:pPr>
        <w:pStyle w:val="BodyText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 revisione dei Piani Comunali di Protezione Civile implica, tra l’altro, l’aggi</w:t>
      </w:r>
      <w:r>
        <w:rPr>
          <w:rFonts w:cs="Calibri"/>
          <w:sz w:val="24"/>
          <w:szCs w:val="24"/>
        </w:rPr>
        <w:t xml:space="preserve">ornamento del Modello di Intervento (CHI FA CHE COSA) e delle Procedure Operative, alla luce delle intervenute modifiche normative. La parte relativa all’informazione dei Cittadini e più in generale al perseguimento della “Cultura della Sicurezza” è stata </w:t>
      </w:r>
      <w:r>
        <w:rPr>
          <w:rFonts w:cs="Calibri"/>
          <w:sz w:val="24"/>
          <w:szCs w:val="24"/>
        </w:rPr>
        <w:t>scorporata dalla parte istituzionale ed operativa, che</w:t>
      </w:r>
      <w:r>
        <w:rPr>
          <w:rFonts w:cs="Calibri"/>
          <w:color w:val="000000"/>
          <w:sz w:val="24"/>
          <w:szCs w:val="24"/>
        </w:rPr>
        <w:t xml:space="preserve"> necessariamente deve essere aggiornata ed approvata in forza degli obblighi di Legge. </w:t>
      </w:r>
    </w:p>
    <w:p w:rsidR="00000000" w:rsidRDefault="00347162">
      <w:pPr>
        <w:pStyle w:val="BodyText"/>
        <w:spacing w:after="0" w:line="240" w:lineRule="auto"/>
        <w:jc w:val="both"/>
        <w:rPr>
          <w:rFonts w:cs="Calibri"/>
          <w:sz w:val="24"/>
          <w:szCs w:val="24"/>
        </w:rPr>
      </w:pPr>
    </w:p>
    <w:p w:rsidR="00000000" w:rsidRDefault="00347162">
      <w:pPr>
        <w:spacing w:before="240" w:after="0" w:line="100" w:lineRule="atLeast"/>
        <w:jc w:val="both"/>
        <w:rPr>
          <w:i/>
          <w:color w:val="0000FF"/>
          <w:sz w:val="20"/>
        </w:rPr>
      </w:pPr>
      <w:r>
        <w:rPr>
          <w:b/>
          <w:sz w:val="24"/>
        </w:rPr>
        <w:t>Il percorso effettuato</w:t>
      </w:r>
    </w:p>
    <w:p w:rsidR="00000000" w:rsidRDefault="00347162">
      <w:pPr>
        <w:spacing w:before="120" w:after="0" w:line="100" w:lineRule="atLeast"/>
        <w:jc w:val="both"/>
      </w:pPr>
      <w:r>
        <w:rPr>
          <w:i/>
          <w:color w:val="0000FF"/>
          <w:sz w:val="20"/>
        </w:rPr>
        <w:t xml:space="preserve">[Sintesi del processo svolto, breve descrizione del percorso, possibilmente suddiviso per </w:t>
      </w:r>
      <w:r>
        <w:rPr>
          <w:i/>
          <w:color w:val="0000FF"/>
          <w:sz w:val="20"/>
        </w:rPr>
        <w:t>fasi di apertura e chiusura ed evidenziando gli aspetti inattesi, eventuali cambiamenti in corso d’opera e dilazioni nei tempi, eventuali conflitti non risolti - max 2000 car.]</w:t>
      </w:r>
    </w:p>
    <w:p w:rsidR="00000000" w:rsidRDefault="00347162">
      <w:pPr>
        <w:spacing w:before="240" w:after="0" w:line="100" w:lineRule="atLeast"/>
        <w:jc w:val="both"/>
        <w:rPr>
          <w:sz w:val="24"/>
        </w:rPr>
      </w:pPr>
      <w:r>
        <w:t>La maggior parte delle azioni preventivate sono state realizzate; alcune sono s</w:t>
      </w:r>
      <w:r>
        <w:t>tate modificate per una maggiore efficacia e si sono aggiunte attività ulteriori emerse dal TDN.</w:t>
      </w:r>
    </w:p>
    <w:p w:rsidR="00000000" w:rsidRDefault="00347162">
      <w:pPr>
        <w:spacing w:before="240" w:after="0" w:line="100" w:lineRule="atLeast"/>
        <w:jc w:val="both"/>
        <w:rPr>
          <w:sz w:val="24"/>
        </w:rPr>
      </w:pPr>
      <w:r>
        <w:rPr>
          <w:sz w:val="24"/>
        </w:rPr>
        <w:t>---&gt; Fase di avvio e coinvolgimento</w:t>
      </w:r>
    </w:p>
    <w:p w:rsidR="00000000" w:rsidRDefault="00347162">
      <w:pPr>
        <w:spacing w:before="240" w:after="0" w:line="100" w:lineRule="atLeast"/>
        <w:jc w:val="both"/>
        <w:rPr>
          <w:sz w:val="24"/>
        </w:rPr>
      </w:pPr>
      <w:r>
        <w:rPr>
          <w:sz w:val="24"/>
        </w:rPr>
        <w:lastRenderedPageBreak/>
        <w:t>Ha richiesto molto tem</w:t>
      </w:r>
      <w:r>
        <w:rPr>
          <w:sz w:val="24"/>
        </w:rPr>
        <w:t>po la fase di avvio, per la necessità di coordinare le 5 realtà comunali dell'Unione e le 13 associaz</w:t>
      </w:r>
      <w:r>
        <w:rPr>
          <w:sz w:val="24"/>
        </w:rPr>
        <w:t xml:space="preserve">ioni </w:t>
      </w:r>
      <w:r>
        <w:rPr>
          <w:sz w:val="24"/>
        </w:rPr>
        <w:t>di volontariato di Protezione Civile.</w:t>
      </w:r>
    </w:p>
    <w:p w:rsidR="00000000" w:rsidRDefault="00347162">
      <w:pPr>
        <w:spacing w:before="240" w:after="0" w:line="100" w:lineRule="atLeast"/>
        <w:jc w:val="both"/>
        <w:rPr>
          <w:sz w:val="24"/>
        </w:rPr>
      </w:pPr>
      <w:r>
        <w:rPr>
          <w:sz w:val="24"/>
        </w:rPr>
        <w:t>In questa fase sono state toccate migliaia di persone con metodi diversi, sia formali che informatici e outreach, come previsto dal progetto.</w:t>
      </w:r>
    </w:p>
    <w:p w:rsidR="00000000" w:rsidRDefault="00347162">
      <w:pPr>
        <w:spacing w:before="240" w:after="0" w:line="100" w:lineRule="atLeast"/>
        <w:jc w:val="both"/>
        <w:rPr>
          <w:sz w:val="24"/>
        </w:rPr>
      </w:pPr>
      <w:r>
        <w:rPr>
          <w:sz w:val="24"/>
        </w:rPr>
        <w:t>Il TDN ha avuto la presenza dei due Comitati Cittadini di Sala Baganza,</w:t>
      </w:r>
      <w:r>
        <w:rPr>
          <w:sz w:val="24"/>
        </w:rPr>
        <w:t xml:space="preserve"> in divergenza con l'Amministrazione comunale; uno dei due si è poi sfilato dal TDN per presenziare all'assemblea del 7 aprile a Sala Baganza. La divergenza di vedute tuttavia è a monte del progetto “Insieme!” e riguarda la gestione dell'emergenza e post e</w:t>
      </w:r>
      <w:r>
        <w:rPr>
          <w:sz w:val="24"/>
        </w:rPr>
        <w:t xml:space="preserve">mergenza dell'alluvione di giugno 2011. </w:t>
      </w:r>
    </w:p>
    <w:p w:rsidR="00000000" w:rsidRDefault="00347162">
      <w:pPr>
        <w:spacing w:before="240" w:after="0" w:line="100" w:lineRule="atLeast"/>
        <w:jc w:val="both"/>
        <w:rPr>
          <w:sz w:val="24"/>
        </w:rPr>
      </w:pPr>
      <w:r>
        <w:rPr>
          <w:sz w:val="24"/>
        </w:rPr>
        <w:t xml:space="preserve">Il TDN ha lavorato sostanzialmente bene, con un calo di partecipazione nella fase finale, in parte imputabile alle elezioni in 3 Comuni su 5, all'accendersi di impegni per le associazioni di volontariato e in parte </w:t>
      </w:r>
      <w:r>
        <w:rPr>
          <w:sz w:val="24"/>
        </w:rPr>
        <w:t>a un fisiologico calo di motivazione sulla distanza di mesi.</w:t>
      </w:r>
    </w:p>
    <w:p w:rsidR="00000000" w:rsidRDefault="00347162">
      <w:pPr>
        <w:spacing w:before="240" w:after="0" w:line="100" w:lineRule="atLeast"/>
        <w:jc w:val="both"/>
        <w:rPr>
          <w:sz w:val="24"/>
        </w:rPr>
      </w:pPr>
    </w:p>
    <w:p w:rsidR="00000000" w:rsidRDefault="00347162">
      <w:pPr>
        <w:spacing w:before="240" w:after="0" w:line="100" w:lineRule="atLeast"/>
        <w:jc w:val="both"/>
        <w:rPr>
          <w:sz w:val="24"/>
        </w:rPr>
      </w:pPr>
      <w:r>
        <w:rPr>
          <w:sz w:val="24"/>
        </w:rPr>
        <w:t xml:space="preserve">---&gt; Fase apertura </w:t>
      </w:r>
    </w:p>
    <w:p w:rsidR="00000000" w:rsidRDefault="00347162">
      <w:pPr>
        <w:spacing w:before="240" w:after="0" w:line="100" w:lineRule="atLeast"/>
        <w:jc w:val="both"/>
        <w:rPr>
          <w:sz w:val="24"/>
        </w:rPr>
      </w:pPr>
      <w:r>
        <w:rPr>
          <w:sz w:val="24"/>
        </w:rPr>
        <w:t>Nonostante le attività svolte, il rafforzamento dei contatti, le passeggiate, le continue uscite ai mercati e sulla stampa, che sono continuate per tutto marzo e aprile, la r</w:t>
      </w:r>
      <w:r>
        <w:rPr>
          <w:sz w:val="24"/>
        </w:rPr>
        <w:t>isposta in termini di presenza alle assemblee è stata tiepida (dai 25 ai 36 presenti per Comune).</w:t>
      </w:r>
    </w:p>
    <w:p w:rsidR="00000000" w:rsidRDefault="00347162">
      <w:pPr>
        <w:spacing w:before="240" w:after="0" w:line="100" w:lineRule="atLeast"/>
        <w:jc w:val="both"/>
        <w:rPr>
          <w:sz w:val="24"/>
        </w:rPr>
      </w:pPr>
      <w:r>
        <w:rPr>
          <w:sz w:val="24"/>
        </w:rPr>
        <w:t>Passeggiate: sono state sovlte 3 passeggiate in luoghi significativi del territorio alla presenza di tecnici e amministratori e alcune decine di cittadini. Mo</w:t>
      </w:r>
      <w:r>
        <w:rPr>
          <w:sz w:val="24"/>
        </w:rPr>
        <w:t>lto utile è stato il confronto diretto tra i tecnici e i cittadini presenti.</w:t>
      </w:r>
    </w:p>
    <w:p w:rsidR="00000000" w:rsidRDefault="00347162">
      <w:pPr>
        <w:spacing w:before="240" w:after="0" w:line="100" w:lineRule="atLeast"/>
        <w:jc w:val="both"/>
        <w:rPr>
          <w:sz w:val="24"/>
        </w:rPr>
      </w:pPr>
      <w:r>
        <w:rPr>
          <w:sz w:val="24"/>
        </w:rPr>
        <w:t>Le prime 5 assemblee sono state molto informative, dovendo illustrare ai cittadini lo stato dell'arte sulla Protezione Civile, il piano di emergenza, le aree di accoglienza, i sis</w:t>
      </w:r>
      <w:r>
        <w:rPr>
          <w:sz w:val="24"/>
        </w:rPr>
        <w:t>temi di intervento ed aprire quindi il dibattito sul ruolo dei cittadini all'interno del Sistema. Infatti solo sulla base della conoscenza dello stato reale delle cose i cittadini possono poi decidere come partecipare. Ci siamo resi conto di quanto i Piani</w:t>
      </w:r>
      <w:r>
        <w:rPr>
          <w:sz w:val="24"/>
        </w:rPr>
        <w:t xml:space="preserve"> fossero sconosciuti alla popolazione e di come invece la partecipazione dei cittadini passi prima di tutto per la conoscenza degli stessi; sconosciuto resta anche il ruolo attivo che i cittadini possono e debbono avere all'interno dei Piani.</w:t>
      </w:r>
    </w:p>
    <w:p w:rsidR="00000000" w:rsidRDefault="00347162">
      <w:pPr>
        <w:spacing w:before="240" w:after="0" w:line="100" w:lineRule="atLeast"/>
        <w:jc w:val="both"/>
        <w:rPr>
          <w:sz w:val="24"/>
        </w:rPr>
      </w:pPr>
      <w:r>
        <w:rPr>
          <w:sz w:val="24"/>
        </w:rPr>
        <w:t xml:space="preserve">Evento clou, </w:t>
      </w:r>
      <w:r>
        <w:rPr>
          <w:sz w:val="24"/>
        </w:rPr>
        <w:t>non previsto nel progetto, che ha coinvolto circa 8000 persone è stata la “prova di evacuazione per simulazione di evento sismico”, realizzata il 18 maggio in quasi tutte le strutture pubbliche dei 5 Comuni, che ha coinvolto le associazioni di volontariato</w:t>
      </w:r>
      <w:r>
        <w:rPr>
          <w:sz w:val="24"/>
        </w:rPr>
        <w:t xml:space="preserve"> di P.C. e gli enti istituzionali (Comuni, ASL , scuola, forze di Polizia, VVFF, ecc.). Anche l'evento in strutture sanitarie con persone portatrici di difficoltà motoria (Case della Salute, Case per anziani) è stato significativo per sensibilizzare sulle </w:t>
      </w:r>
      <w:r>
        <w:rPr>
          <w:sz w:val="24"/>
        </w:rPr>
        <w:t>possibili emergenze e sui piani locali di evacuazione, mettendo in luce alcune criticità. Nelle scuole i ragazzi sono stati coinvolti direttamente in simulazioni e hanno sperimentato come comportarsi in caso di emergenza. Esperienza globale assolutamente p</w:t>
      </w:r>
      <w:r>
        <w:rPr>
          <w:sz w:val="24"/>
        </w:rPr>
        <w:t xml:space="preserve">ositiva che gli enti hanno valutato da replicare il prossimo anno. </w:t>
      </w:r>
    </w:p>
    <w:p w:rsidR="00000000" w:rsidRDefault="00347162">
      <w:pPr>
        <w:spacing w:before="240" w:after="0" w:line="100" w:lineRule="atLeast"/>
        <w:jc w:val="both"/>
        <w:rPr>
          <w:sz w:val="24"/>
        </w:rPr>
      </w:pPr>
      <w:r>
        <w:rPr>
          <w:sz w:val="24"/>
        </w:rPr>
        <w:t>---&gt; Fase di chiusura</w:t>
      </w:r>
    </w:p>
    <w:p w:rsidR="00000000" w:rsidRDefault="00347162">
      <w:pPr>
        <w:spacing w:before="240" w:after="0" w:line="100" w:lineRule="atLeast"/>
        <w:jc w:val="both"/>
        <w:rPr>
          <w:sz w:val="24"/>
        </w:rPr>
      </w:pPr>
      <w:r>
        <w:rPr>
          <w:sz w:val="24"/>
        </w:rPr>
        <w:t>Si è svolta come previsto con l'approvazione del DocPP da parte del TDN in data 22 Giugno 2016, sulla base anche della votazione online lanciata il 3 Giugno e conclus</w:t>
      </w:r>
      <w:r>
        <w:rPr>
          <w:sz w:val="24"/>
        </w:rPr>
        <w:t>asi il 18.</w:t>
      </w:r>
    </w:p>
    <w:p w:rsidR="00000000" w:rsidRDefault="00347162">
      <w:pPr>
        <w:spacing w:before="120" w:after="0" w:line="100" w:lineRule="atLeast"/>
        <w:jc w:val="both"/>
        <w:rPr>
          <w:sz w:val="24"/>
        </w:rPr>
      </w:pPr>
      <w:r>
        <w:rPr>
          <w:sz w:val="24"/>
        </w:rPr>
        <w:t xml:space="preserve">Link alla votazione online: </w:t>
      </w:r>
      <w:hyperlink r:id="rId7" w:history="1">
        <w:r>
          <w:rPr>
            <w:rStyle w:val="Hyperlink"/>
            <w:sz w:val="24"/>
          </w:rPr>
          <w:t>http://insiemeperlacomunitaelambiente.it/classifica/</w:t>
        </w:r>
      </w:hyperlink>
      <w:r>
        <w:rPr>
          <w:sz w:val="24"/>
        </w:rPr>
        <w:t xml:space="preserve"> </w:t>
      </w:r>
    </w:p>
    <w:p w:rsidR="00000000" w:rsidRDefault="00347162">
      <w:pPr>
        <w:spacing w:before="120" w:after="0" w:line="100" w:lineRule="atLeast"/>
        <w:jc w:val="both"/>
        <w:rPr>
          <w:sz w:val="24"/>
        </w:rPr>
      </w:pPr>
    </w:p>
    <w:p w:rsidR="00000000" w:rsidRDefault="00347162">
      <w:pPr>
        <w:spacing w:before="240" w:after="0" w:line="100" w:lineRule="atLeast"/>
        <w:jc w:val="both"/>
        <w:rPr>
          <w:sz w:val="24"/>
        </w:rPr>
      </w:pPr>
      <w:r>
        <w:rPr>
          <w:sz w:val="24"/>
        </w:rPr>
        <w:lastRenderedPageBreak/>
        <w:t>Date le presenze scarse alle assemble non si è ritenuto necessario e pro</w:t>
      </w:r>
      <w:r>
        <w:rPr>
          <w:sz w:val="24"/>
        </w:rPr>
        <w:t>duttivo utilizzare al</w:t>
      </w:r>
      <w:r>
        <w:rPr>
          <w:sz w:val="24"/>
        </w:rPr>
        <w:t>tri strumenti di DDDP (</w:t>
      </w:r>
      <w:hyperlink r:id="rId8" w:history="1">
        <w:r>
          <w:rPr>
            <w:rStyle w:val="Strong"/>
            <w:b w:val="0"/>
            <w:bCs w:val="0"/>
            <w:sz w:val="24"/>
          </w:rPr>
          <w:t>strumenti di Democrazia Diretta, Deliberativa, Partecipativa)</w:t>
        </w:r>
      </w:hyperlink>
      <w:r>
        <w:rPr>
          <w:sz w:val="24"/>
        </w:rPr>
        <w:t>.</w:t>
      </w:r>
    </w:p>
    <w:p w:rsidR="00000000" w:rsidRDefault="00347162">
      <w:pPr>
        <w:spacing w:before="240" w:after="0" w:line="100" w:lineRule="atLeast"/>
        <w:jc w:val="both"/>
        <w:rPr>
          <w:sz w:val="24"/>
        </w:rPr>
      </w:pPr>
    </w:p>
    <w:p w:rsidR="00000000" w:rsidRDefault="00347162">
      <w:pPr>
        <w:spacing w:before="240" w:after="0" w:line="100" w:lineRule="atLeast"/>
        <w:jc w:val="both"/>
        <w:rPr>
          <w:i/>
          <w:color w:val="0000FF"/>
          <w:sz w:val="20"/>
        </w:rPr>
      </w:pPr>
      <w:r>
        <w:rPr>
          <w:b/>
          <w:sz w:val="24"/>
        </w:rPr>
        <w:t>Esito del</w:t>
      </w:r>
      <w:r>
        <w:rPr>
          <w:b/>
          <w:sz w:val="24"/>
        </w:rPr>
        <w:t xml:space="preserve"> processo – proposte per il decisore</w:t>
      </w:r>
    </w:p>
    <w:p w:rsidR="00000000" w:rsidRDefault="00347162">
      <w:pPr>
        <w:spacing w:before="120" w:after="0" w:line="100" w:lineRule="atLeast"/>
        <w:jc w:val="both"/>
        <w:rPr>
          <w:sz w:val="24"/>
        </w:rPr>
      </w:pPr>
      <w:r>
        <w:rPr>
          <w:i/>
          <w:color w:val="0000FF"/>
          <w:sz w:val="20"/>
        </w:rPr>
        <w:t>[Descrizione dettagliata della proposta da sottoporre agli organi deliberanti del titolare della</w:t>
      </w:r>
      <w:r>
        <w:rPr>
          <w:color w:val="0000FF"/>
          <w:sz w:val="20"/>
        </w:rPr>
        <w:t xml:space="preserve"> </w:t>
      </w:r>
      <w:r>
        <w:rPr>
          <w:i/>
          <w:color w:val="0000FF"/>
          <w:sz w:val="20"/>
        </w:rPr>
        <w:t>decisione].</w:t>
      </w:r>
    </w:p>
    <w:p w:rsidR="00000000" w:rsidRDefault="00347162">
      <w:pPr>
        <w:spacing w:before="120" w:after="0" w:line="100" w:lineRule="atLeast"/>
        <w:jc w:val="both"/>
        <w:rPr>
          <w:sz w:val="24"/>
        </w:rPr>
      </w:pPr>
      <w:r>
        <w:rPr>
          <w:sz w:val="24"/>
        </w:rPr>
        <w:t>La votazione online non ha mostrato significativi scostamenti tra le 6 proposte, che pertanto ribadiamo nell'o</w:t>
      </w:r>
      <w:r>
        <w:rPr>
          <w:sz w:val="24"/>
        </w:rPr>
        <w:t>rdine in cui erano state poste al voto.</w:t>
      </w:r>
    </w:p>
    <w:p w:rsidR="00000000" w:rsidRDefault="00347162">
      <w:pPr>
        <w:spacing w:before="120" w:after="0" w:line="100" w:lineRule="atLeast"/>
        <w:jc w:val="both"/>
        <w:rPr>
          <w:sz w:val="24"/>
        </w:rPr>
      </w:pPr>
    </w:p>
    <w:p w:rsidR="00000000" w:rsidRDefault="00347162">
      <w:pPr>
        <w:spacing w:before="120" w:after="0" w:line="100" w:lineRule="atLeast"/>
        <w:jc w:val="both"/>
        <w:rPr>
          <w:sz w:val="24"/>
          <w:u w:val="single"/>
        </w:rPr>
      </w:pPr>
      <w:r>
        <w:rPr>
          <w:sz w:val="24"/>
        </w:rPr>
        <w:t>L’Assemblea propone in conlusione all’Unione Pedemontana Parmense di approvare le seguenti decisioni:</w:t>
      </w:r>
    </w:p>
    <w:p w:rsidR="00000000" w:rsidRDefault="00347162">
      <w:pPr>
        <w:pStyle w:val="ListParagraph"/>
        <w:numPr>
          <w:ilvl w:val="0"/>
          <w:numId w:val="1"/>
        </w:numPr>
        <w:spacing w:before="120" w:after="0" w:line="100" w:lineRule="atLeast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Istituzione dei </w:t>
      </w:r>
      <w:r>
        <w:rPr>
          <w:b/>
          <w:bCs/>
          <w:sz w:val="24"/>
          <w:u w:val="single"/>
        </w:rPr>
        <w:t>referenti di Frazione/Area</w:t>
      </w:r>
      <w:r>
        <w:rPr>
          <w:sz w:val="24"/>
          <w:u w:val="single"/>
        </w:rPr>
        <w:t xml:space="preserve"> per la Protezione Civile</w:t>
      </w:r>
      <w:r>
        <w:rPr>
          <w:sz w:val="24"/>
        </w:rPr>
        <w:t>: si tratta di cittadini che risiedono nei cen</w:t>
      </w:r>
      <w:r>
        <w:rPr>
          <w:sz w:val="24"/>
        </w:rPr>
        <w:t>tri abitati e che, per conoscenza del territorio, capacità e disponibilità personale, possono rappresentare un punto di osservazione privilegiato e qualificato in caso di allertamento o di situazioni emergenziali. Le persone sono nominate dal Sindaco, prev</w:t>
      </w:r>
      <w:r>
        <w:rPr>
          <w:sz w:val="24"/>
        </w:rPr>
        <w:t xml:space="preserve">ia formazione e dotazione di equipaggiamento identificativo. All’occorrenza potranno essere contattati dalla Centrale Operativa della Polizia Municipale (o da altre strutture della P.C.) per acquisire informazioni utili alla gestione dell’emergenza attesa </w:t>
      </w:r>
      <w:r>
        <w:rPr>
          <w:sz w:val="24"/>
        </w:rPr>
        <w:t>o in atto oppure segnalare a loro volta alla C.O. l’insorgenza di eventuali situazioni critiche.</w:t>
      </w:r>
    </w:p>
    <w:p w:rsidR="00000000" w:rsidRDefault="00347162">
      <w:pPr>
        <w:pStyle w:val="ListParagraph"/>
        <w:numPr>
          <w:ilvl w:val="0"/>
          <w:numId w:val="1"/>
        </w:numPr>
        <w:spacing w:before="120" w:after="0" w:line="100" w:lineRule="atLeast"/>
        <w:jc w:val="both"/>
        <w:rPr>
          <w:sz w:val="24"/>
          <w:u w:val="single"/>
        </w:rPr>
      </w:pPr>
      <w:r>
        <w:rPr>
          <w:sz w:val="24"/>
          <w:u w:val="single"/>
        </w:rPr>
        <w:t>Istituzione dell’</w:t>
      </w:r>
      <w:r>
        <w:rPr>
          <w:b/>
          <w:bCs/>
          <w:sz w:val="24"/>
          <w:u w:val="single"/>
        </w:rPr>
        <w:t>elenco dei custodi delle aree di attesa</w:t>
      </w:r>
      <w:r>
        <w:rPr>
          <w:sz w:val="24"/>
          <w:u w:val="single"/>
        </w:rPr>
        <w:t xml:space="preserve"> per la popolazione</w:t>
      </w:r>
      <w:r>
        <w:rPr>
          <w:sz w:val="24"/>
        </w:rPr>
        <w:t>: si tratta di cittadini  che si rendono disponibili a titolo volontario e a cui vie</w:t>
      </w:r>
      <w:r>
        <w:rPr>
          <w:sz w:val="24"/>
        </w:rPr>
        <w:t>ne affidato il presidio delle aree di attesa per la popolazione in caso di situazioni di emergenza (nella fase di prima emergenza). Le persone sono nominate dal Sindaco, previa formazione e dotazione di equipaggiamento identificativo. I Comuni/l’Unione dov</w:t>
      </w:r>
      <w:r>
        <w:rPr>
          <w:sz w:val="24"/>
        </w:rPr>
        <w:t>ranno garantire la copertura assicurativa per infortuni e responsabilità civile verso terzi dei custodi.</w:t>
      </w:r>
    </w:p>
    <w:p w:rsidR="00000000" w:rsidRDefault="00347162">
      <w:pPr>
        <w:pStyle w:val="ListParagraph"/>
        <w:numPr>
          <w:ilvl w:val="0"/>
          <w:numId w:val="1"/>
        </w:numPr>
        <w:spacing w:before="120" w:after="0" w:line="100" w:lineRule="atLeast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Sottoscrizione di </w:t>
      </w:r>
      <w:r>
        <w:rPr>
          <w:b/>
          <w:bCs/>
          <w:sz w:val="24"/>
          <w:u w:val="single"/>
        </w:rPr>
        <w:t>convenzioni con gruppi/comitati di cittadini</w:t>
      </w:r>
      <w:r>
        <w:rPr>
          <w:sz w:val="24"/>
          <w:u w:val="single"/>
        </w:rPr>
        <w:t xml:space="preserve"> desiderosi di partecipare alla manutenzione e cura del territorio</w:t>
      </w:r>
      <w:r>
        <w:rPr>
          <w:sz w:val="24"/>
        </w:rPr>
        <w:t>. Laddove gruppi organi</w:t>
      </w:r>
      <w:r>
        <w:rPr>
          <w:sz w:val="24"/>
        </w:rPr>
        <w:t xml:space="preserve">zzati di cittadini desiderino concorrere alla manutenzione del territorio, andranno definite modalità di collaborazione Pubblico/Privato con l’eventuale coinvolgimento di altri soggetti tecnici (es. Bonifica Parmense). Le convenzioni dovranno prevedere la </w:t>
      </w:r>
      <w:r>
        <w:rPr>
          <w:sz w:val="24"/>
        </w:rPr>
        <w:t>copertura assicurativa per infortuni e responsabilità civile verso terzi dei cittadini partecipanti.</w:t>
      </w:r>
    </w:p>
    <w:p w:rsidR="00000000" w:rsidRDefault="00347162">
      <w:pPr>
        <w:pStyle w:val="ListParagraph"/>
        <w:numPr>
          <w:ilvl w:val="0"/>
          <w:numId w:val="1"/>
        </w:numPr>
        <w:spacing w:before="120" w:after="0" w:line="100" w:lineRule="atLeast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Istituzione del </w:t>
      </w:r>
      <w:r>
        <w:rPr>
          <w:b/>
          <w:bCs/>
          <w:sz w:val="24"/>
          <w:u w:val="single"/>
        </w:rPr>
        <w:t>gruppo di lavoro Scuola Sicura</w:t>
      </w:r>
      <w:r>
        <w:rPr>
          <w:sz w:val="24"/>
        </w:rPr>
        <w:t>: formazione di un gruppo di lavoro composto da rappresentanti dell’Unione, dei Comuni, delle Istituzioni sco</w:t>
      </w:r>
      <w:r>
        <w:rPr>
          <w:sz w:val="24"/>
        </w:rPr>
        <w:t xml:space="preserve">lastiche e delle Organizzazioni del Volontariato di Protezione Civile, con l’obiettivo di organizzare e promuovere iniziative formative negli istituti scolastici pubblici e privati, in modo da concorrere alla formazione della Cultura della Sicurezza e del </w:t>
      </w:r>
      <w:r>
        <w:rPr>
          <w:sz w:val="24"/>
        </w:rPr>
        <w:t>Territorio.</w:t>
      </w:r>
    </w:p>
    <w:p w:rsidR="00000000" w:rsidRDefault="00347162">
      <w:pPr>
        <w:pStyle w:val="ListParagraph"/>
        <w:numPr>
          <w:ilvl w:val="0"/>
          <w:numId w:val="1"/>
        </w:numPr>
        <w:spacing w:before="120" w:after="0" w:line="100" w:lineRule="atLeast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Promozione di almeno un </w:t>
      </w:r>
      <w:r>
        <w:rPr>
          <w:b/>
          <w:bCs/>
          <w:sz w:val="24"/>
          <w:u w:val="single"/>
        </w:rPr>
        <w:t>evento annuale esercitativo</w:t>
      </w:r>
      <w:r>
        <w:rPr>
          <w:sz w:val="24"/>
          <w:u w:val="single"/>
        </w:rPr>
        <w:t xml:space="preserve"> a livello di Unione</w:t>
      </w:r>
      <w:r>
        <w:rPr>
          <w:sz w:val="24"/>
        </w:rPr>
        <w:t>: ogni anno dovrà essere organizzato e svolto almeno un evento (esercitazione, simulazione, incontri formativi, ecc.) che abbia a coinvolgere l’intero territorio dell’Unione</w:t>
      </w:r>
      <w:r>
        <w:rPr>
          <w:sz w:val="24"/>
        </w:rPr>
        <w:t xml:space="preserve"> e le più ampie fasce della popolazione possibile, da effettuarsi in collaborazione e con il coinvolgimento delle Organizzazioni del Volontariato di Protezione Civile presenti sul territorio.</w:t>
      </w:r>
    </w:p>
    <w:p w:rsidR="00000000" w:rsidRDefault="00347162">
      <w:pPr>
        <w:pStyle w:val="ListParagraph"/>
        <w:numPr>
          <w:ilvl w:val="0"/>
          <w:numId w:val="1"/>
        </w:numPr>
        <w:spacing w:before="120" w:after="0" w:line="100" w:lineRule="atLeast"/>
        <w:jc w:val="both"/>
        <w:rPr>
          <w:b/>
          <w:sz w:val="24"/>
        </w:rPr>
      </w:pPr>
      <w:r>
        <w:rPr>
          <w:sz w:val="24"/>
          <w:u w:val="single"/>
        </w:rPr>
        <w:t xml:space="preserve">Realizzazione di </w:t>
      </w:r>
      <w:r>
        <w:rPr>
          <w:b/>
          <w:bCs/>
          <w:sz w:val="24"/>
          <w:u w:val="single"/>
        </w:rPr>
        <w:t>materiale informativo</w:t>
      </w:r>
      <w:r>
        <w:rPr>
          <w:sz w:val="24"/>
        </w:rPr>
        <w:t xml:space="preserve"> (opuscolo, schede, app, e</w:t>
      </w:r>
      <w:r>
        <w:rPr>
          <w:sz w:val="24"/>
        </w:rPr>
        <w:t>cc.) da diffondere presso  la popolazione, in cui siano sintetizzati i contenuti dei Piani di Protezione Civile, sia descritta l’organizzazione del Sistema di Protezione Civile e siano descritti i rischi presenti sul territorio, i corretti comportamenti da</w:t>
      </w:r>
      <w:r>
        <w:rPr>
          <w:sz w:val="24"/>
        </w:rPr>
        <w:t xml:space="preserve"> assumere in termini di autoprotezione e di </w:t>
      </w:r>
      <w:r>
        <w:rPr>
          <w:sz w:val="24"/>
        </w:rPr>
        <w:lastRenderedPageBreak/>
        <w:t>soccorso agli altri. Detto materiale dovrà essere tradotto nelle principali lingue straniere, in modo da favorire l’integrazione delle persone di origine diversa da quella italiana.</w:t>
      </w:r>
    </w:p>
    <w:p w:rsidR="00000000" w:rsidRDefault="00347162">
      <w:pPr>
        <w:spacing w:before="240" w:after="0" w:line="100" w:lineRule="atLeast"/>
        <w:jc w:val="both"/>
        <w:rPr>
          <w:sz w:val="24"/>
        </w:rPr>
      </w:pPr>
      <w:r>
        <w:rPr>
          <w:b/>
          <w:sz w:val="24"/>
        </w:rPr>
        <w:t>Nell'ultima riunione dle TDN è</w:t>
      </w:r>
      <w:r>
        <w:rPr>
          <w:b/>
          <w:sz w:val="24"/>
        </w:rPr>
        <w:t xml:space="preserve"> emersa un'esigenza che segnaliamo come raccomandazione:</w:t>
      </w:r>
    </w:p>
    <w:p w:rsidR="00000000" w:rsidRDefault="00347162">
      <w:pPr>
        <w:spacing w:before="240" w:after="0" w:line="100" w:lineRule="atLeast"/>
        <w:jc w:val="both"/>
        <w:rPr>
          <w:b/>
          <w:sz w:val="24"/>
        </w:rPr>
      </w:pPr>
      <w:r>
        <w:rPr>
          <w:sz w:val="24"/>
        </w:rPr>
        <w:t>Si propone all'Unione che laddove ci sia una criticità elevata che coinvolge una porzione di territorio, l'Amministrazione Comunale, in stretto raccordo con gli organismi tecnici ed eventuali altri E</w:t>
      </w:r>
      <w:r>
        <w:rPr>
          <w:sz w:val="24"/>
        </w:rPr>
        <w:t>nti Locali, debba coinvolgere i rappresentanti dei cittadini direttamente interessati dalla criticità stessa (esempio: Torrente Scodogna, frana di Gavazzo).</w:t>
      </w:r>
    </w:p>
    <w:p w:rsidR="00000000" w:rsidRDefault="00347162">
      <w:pPr>
        <w:spacing w:before="240" w:after="0" w:line="100" w:lineRule="atLeast"/>
        <w:jc w:val="both"/>
        <w:rPr>
          <w:b/>
          <w:sz w:val="24"/>
        </w:rPr>
      </w:pPr>
    </w:p>
    <w:p w:rsidR="00000000" w:rsidRDefault="00347162">
      <w:pPr>
        <w:spacing w:before="240" w:after="0" w:line="100" w:lineRule="atLeast"/>
        <w:jc w:val="both"/>
        <w:rPr>
          <w:i/>
          <w:color w:val="0000FF"/>
          <w:sz w:val="20"/>
        </w:rPr>
      </w:pPr>
      <w:r>
        <w:rPr>
          <w:b/>
          <w:sz w:val="24"/>
        </w:rPr>
        <w:t xml:space="preserve">Indicazioni relativamente alla risoluzione della proposta </w:t>
      </w:r>
    </w:p>
    <w:p w:rsidR="00000000" w:rsidRDefault="00347162">
      <w:pPr>
        <w:spacing w:before="120" w:after="0" w:line="100" w:lineRule="atLeast"/>
        <w:jc w:val="both"/>
        <w:rPr>
          <w:sz w:val="24"/>
        </w:rPr>
      </w:pPr>
      <w:r>
        <w:rPr>
          <w:i/>
          <w:color w:val="0000FF"/>
          <w:sz w:val="20"/>
        </w:rPr>
        <w:t>[Indicazioni rispetto ai tempi e al tip</w:t>
      </w:r>
      <w:r>
        <w:rPr>
          <w:i/>
          <w:color w:val="0000FF"/>
          <w:sz w:val="20"/>
        </w:rPr>
        <w:t xml:space="preserve">o di atto che potrà dare conto del DocPP. Si tratta di un suggerimento o una stima, per orientare i cittadini e le loro organizzazioni]. </w:t>
      </w:r>
    </w:p>
    <w:p w:rsidR="00000000" w:rsidRDefault="00347162">
      <w:pPr>
        <w:spacing w:before="120" w:after="0" w:line="100" w:lineRule="atLeast"/>
        <w:jc w:val="both"/>
        <w:rPr>
          <w:b/>
          <w:sz w:val="24"/>
        </w:rPr>
      </w:pPr>
      <w:r>
        <w:rPr>
          <w:sz w:val="24"/>
        </w:rPr>
        <w:t>Si auspica una Delibera di Giunta dell’Unione, da adottars</w:t>
      </w:r>
      <w:r>
        <w:rPr>
          <w:sz w:val="24"/>
        </w:rPr>
        <w:t>i entro il 15 Settembre 20</w:t>
      </w:r>
      <w:r>
        <w:rPr>
          <w:sz w:val="24"/>
        </w:rPr>
        <w:t xml:space="preserve">16, tenendo conto della necessità </w:t>
      </w:r>
      <w:r>
        <w:rPr>
          <w:sz w:val="24"/>
        </w:rPr>
        <w:t>di insediamento delle nuove Amministrazioni Comunali di Felino, Sala Baganza e Traversetolo e quindi dei nuovi organi dell'Unione.</w:t>
      </w:r>
    </w:p>
    <w:p w:rsidR="00000000" w:rsidRDefault="00347162">
      <w:pPr>
        <w:spacing w:before="240" w:after="0" w:line="100" w:lineRule="atLeast"/>
        <w:jc w:val="both"/>
        <w:rPr>
          <w:b/>
          <w:sz w:val="24"/>
        </w:rPr>
      </w:pPr>
    </w:p>
    <w:p w:rsidR="00000000" w:rsidRDefault="00347162">
      <w:pPr>
        <w:spacing w:before="240" w:after="0" w:line="100" w:lineRule="atLeast"/>
        <w:jc w:val="both"/>
        <w:rPr>
          <w:i/>
          <w:color w:val="0000FF"/>
          <w:sz w:val="20"/>
        </w:rPr>
      </w:pPr>
      <w:r>
        <w:rPr>
          <w:b/>
          <w:sz w:val="24"/>
        </w:rPr>
        <w:t>Programma di monitoraggio</w:t>
      </w:r>
    </w:p>
    <w:p w:rsidR="00000000" w:rsidRDefault="00347162">
      <w:pPr>
        <w:spacing w:before="120" w:after="0" w:line="100" w:lineRule="atLeast"/>
        <w:jc w:val="both"/>
        <w:rPr>
          <w:sz w:val="24"/>
        </w:rPr>
      </w:pPr>
      <w:r>
        <w:rPr>
          <w:i/>
          <w:color w:val="0000FF"/>
          <w:sz w:val="20"/>
        </w:rPr>
        <w:t>[Si deve indicare quanto emerso nel processo rispetto agli accorgimenti di monitoraggio e controll</w:t>
      </w:r>
      <w:r>
        <w:rPr>
          <w:i/>
          <w:color w:val="0000FF"/>
          <w:sz w:val="20"/>
        </w:rPr>
        <w:t>o della decisione (lettera S del progetto). Chi, come (con quali strumenti partecipativi e informativi) e in quali tempi dovrà seguire lo sviluppo del procedimento amministrativo: gli atti, le comunicazioni attinenti al processo, gli atti esecutivi e la lo</w:t>
      </w:r>
      <w:r>
        <w:rPr>
          <w:i/>
          <w:color w:val="0000FF"/>
          <w:sz w:val="20"/>
        </w:rPr>
        <w:t>ro implementazione operativa. In particolare indicare su quali pagine web (e per quanto tempo) le informazioni continueranno ad essere aggiornate.]</w:t>
      </w:r>
    </w:p>
    <w:p w:rsidR="00000000" w:rsidRDefault="00347162">
      <w:pPr>
        <w:spacing w:before="120" w:after="0" w:line="100" w:lineRule="atLeast"/>
        <w:jc w:val="both"/>
        <w:rPr>
          <w:sz w:val="24"/>
        </w:rPr>
      </w:pPr>
      <w:r>
        <w:rPr>
          <w:sz w:val="24"/>
        </w:rPr>
        <w:t>Il Comitato di Pilotaggio di “Insieme!”, come previsto nel progetto, rimarrà in carica almeno fino al 31 Dic</w:t>
      </w:r>
      <w:r>
        <w:rPr>
          <w:sz w:val="24"/>
        </w:rPr>
        <w:t xml:space="preserve">embre 2016, per monitorare l'andamento del DocPP e la sua applicazione. </w:t>
      </w:r>
      <w:r>
        <w:rPr>
          <w:rFonts w:eastAsia="Calibri" w:cs="Calibri"/>
          <w:sz w:val="24"/>
        </w:rPr>
        <w:t xml:space="preserve">Il CdP deciderà autonomamente le modalità di monitoraggio che potranno consistere in incontri coi responsabili dell'Unione, interviste e osservazioni in loco. </w:t>
      </w:r>
      <w:r>
        <w:rPr>
          <w:sz w:val="24"/>
        </w:rPr>
        <w:t>I suoi verbali e aggiorna</w:t>
      </w:r>
      <w:r>
        <w:rPr>
          <w:sz w:val="24"/>
        </w:rPr>
        <w:t>menti rimarranno sul sito del progetto per tutto il 2016; oltre tale data verranno messi sul sito dell'Unione, dei 5 Comuni e della cooperativa Giolli.</w:t>
      </w:r>
    </w:p>
    <w:p w:rsidR="00000000" w:rsidRDefault="00347162">
      <w:pPr>
        <w:spacing w:before="120" w:after="0" w:line="100" w:lineRule="atLeast"/>
        <w:jc w:val="both"/>
        <w:rPr>
          <w:sz w:val="24"/>
        </w:rPr>
      </w:pPr>
      <w:r>
        <w:rPr>
          <w:sz w:val="24"/>
        </w:rPr>
        <w:t>Il Comitato intercomunale della Protezione Civile, da insediarsi entro 60 giorni dall’approvazione dei P</w:t>
      </w:r>
      <w:r>
        <w:rPr>
          <w:sz w:val="24"/>
        </w:rPr>
        <w:t>iani comunali di Protezione Civile (quindi entro il 22 luglio 2016), valuterà annualmente il programma di iniziative volte a favorire la formazione e l’informazione della popolazione in materia di Protezione Civile.</w:t>
      </w:r>
    </w:p>
    <w:p w:rsidR="00000000" w:rsidRDefault="00347162">
      <w:pPr>
        <w:spacing w:before="120" w:after="0" w:line="100" w:lineRule="atLeast"/>
        <w:jc w:val="both"/>
        <w:rPr>
          <w:sz w:val="24"/>
        </w:rPr>
      </w:pPr>
    </w:p>
    <w:p w:rsidR="00000000" w:rsidRDefault="00347162">
      <w:pPr>
        <w:spacing w:before="120" w:after="0" w:line="100" w:lineRule="atLeast"/>
        <w:jc w:val="both"/>
      </w:pPr>
    </w:p>
    <w:sectPr w:rsidR="00000000">
      <w:footerReference w:type="default" r:id="rId9"/>
      <w:pgSz w:w="11906" w:h="16838"/>
      <w:pgMar w:top="1134" w:right="1134" w:bottom="851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7162">
      <w:pPr>
        <w:spacing w:after="0" w:line="240" w:lineRule="auto"/>
      </w:pPr>
      <w:r>
        <w:separator/>
      </w:r>
    </w:p>
  </w:endnote>
  <w:endnote w:type="continuationSeparator" w:id="0">
    <w:p w:rsidR="00000000" w:rsidRDefault="0034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7162">
    <w:pPr>
      <w:pStyle w:val="Footer"/>
    </w:pPr>
    <w:r>
      <w:tab/>
      <w:t>Versione presentata ed approvata nell</w:t>
    </w:r>
    <w:r>
      <w:t>’Assemblea del 24/05/2016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7162">
      <w:pPr>
        <w:spacing w:after="0" w:line="240" w:lineRule="auto"/>
      </w:pPr>
      <w:r>
        <w:separator/>
      </w:r>
    </w:p>
  </w:footnote>
  <w:footnote w:type="continuationSeparator" w:id="0">
    <w:p w:rsidR="00000000" w:rsidRDefault="00347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rebuchet MS"/>
        <w:b/>
        <w:caps w:val="0"/>
        <w:smallCaps w:val="0"/>
        <w:strike w:val="0"/>
        <w:dstrike w:val="0"/>
        <w:outline w:val="0"/>
        <w:color w:val="FF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rebuchet MS"/>
        <w:caps w:val="0"/>
        <w:smallCaps w:val="0"/>
        <w:strike w:val="0"/>
        <w:dstrike w:val="0"/>
        <w:outline w:val="0"/>
        <w:color w:val="FF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162"/>
    <w:rsid w:val="0034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font279"/>
      <w:sz w:val="22"/>
      <w:szCs w:val="22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rebuchet MS"/>
      <w:b/>
      <w:caps w:val="0"/>
      <w:smallCaps w:val="0"/>
      <w:strike w:val="0"/>
      <w:dstrike w:val="0"/>
      <w:outline w:val="0"/>
      <w:color w:val="FF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alibri" w:hAnsi="Calibri" w:cs="Trebuchet MS"/>
      <w:caps w:val="0"/>
      <w:smallCaps w:val="0"/>
      <w:strike w:val="0"/>
      <w:dstrike w:val="0"/>
      <w:outline w:val="0"/>
      <w:color w:val="FF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DefaultParagraphFont0">
    <w:name w:val="Default Paragraph Font"/>
  </w:style>
  <w:style w:type="character" w:customStyle="1" w:styleId="IntestazioneCarattere">
    <w:name w:val="Intestazione Carattere"/>
    <w:basedOn w:val="DefaultParagraphFont0"/>
  </w:style>
  <w:style w:type="character" w:customStyle="1" w:styleId="PidipaginaCarattere">
    <w:name w:val="Piè di pagina Carattere"/>
    <w:basedOn w:val="DefaultParagraphFont0"/>
  </w:style>
  <w:style w:type="character" w:customStyle="1" w:styleId="ListLabel1">
    <w:name w:val="ListLabel 1"/>
    <w:rPr>
      <w:rFonts w:cs="font279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Intestazione">
    <w:name w:val="Intestazione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ecipazione.regione.emilia-romagna.it/tecnico-di-garanzia/servizi/gli-strumenti-di-democrazia-diretta-deliberativa-partecipativa-ddd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iemeperlacomunitaelambiente.it/classif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cp:lastModifiedBy>f.trapani</cp:lastModifiedBy>
  <cp:revision>2</cp:revision>
  <cp:lastPrinted>1601-01-01T00:00:00Z</cp:lastPrinted>
  <dcterms:created xsi:type="dcterms:W3CDTF">2016-07-05T08:14:00Z</dcterms:created>
  <dcterms:modified xsi:type="dcterms:W3CDTF">2016-07-05T08:14:00Z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